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 xml:space="preserve">Do not mix complete spellings and </w:t>
      </w:r>
      <w:proofErr w:type="spellStart"/>
      <w:r w:rsidRPr="005B520E">
        <w:t>abbreviations</w:t>
      </w:r>
      <w:proofErr w:type="spellEnd"/>
      <w:r w:rsidRPr="005B520E">
        <w:t xml:space="preserve"> of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w:t>
      </w:r>
      <w:proofErr w:type="spellStart"/>
      <w:r w:rsidRPr="005B520E">
        <w:t>square</w:t>
      </w:r>
      <w:proofErr w:type="spellEnd"/>
      <w:r w:rsidRPr="005B520E">
        <w:t xml:space="preserve"> </w:t>
      </w:r>
      <w:proofErr w:type="spellStart"/>
      <w:r w:rsidRPr="005B520E">
        <w:t>meter</w:t>
      </w:r>
      <w:proofErr w:type="spellEnd"/>
      <w:r w:rsidRPr="005B520E">
        <w:t xml:space="preserve">”,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of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4C312C" w:rsidRDefault="004C312C" w:rsidP="001A3B3D">
      <w:r>
        <w:separator/>
      </w:r>
    </w:p>
  </w:endnote>
  <w:endnote w:type="continuationSeparator" w:id="0">
    <w:p w:rsidR="004C312C" w:rsidRDefault="004C312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4C312C" w:rsidRDefault="004C312C" w:rsidP="001A3B3D">
      <w:r>
        <w:separator/>
      </w:r>
    </w:p>
  </w:footnote>
  <w:footnote w:type="continuationSeparator" w:id="0">
    <w:p w:rsidR="004C312C" w:rsidRDefault="004C312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C312C"/>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51E93"/>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E1D24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5046B5F-5690-4181-938F-E38C469BC55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Pages>
  <Words>1825</Words>
  <Characters>12593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simon</cp:lastModifiedBy>
  <cp:revision>4</cp:revision>
  <dcterms:created xsi:type="dcterms:W3CDTF">2019-01-08T18:42:00Z</dcterms:created>
  <dcterms:modified xsi:type="dcterms:W3CDTF">2022-06-02T07:53:00Z</dcterms:modified>
</cp:coreProperties>
</file>